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77777777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>w ramach projektu „Małopolski Ośrodek Wsparcia Ekonomii Społecznej w Chrzanowie”</w:t>
      </w:r>
      <w:r w:rsidR="0089517A" w:rsidRPr="00AC286E">
        <w:rPr>
          <w:rFonts w:cs="Calibri"/>
        </w:rPr>
        <w:t>,</w:t>
      </w:r>
    </w:p>
    <w:p w14:paraId="7F235FC4" w14:textId="77777777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>Małopolski Ośrodek Wsparcia Ekonomii Społecznej w Chrzanowie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1C34751E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5B5DB1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77C4A4E3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F275C1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06999D53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F275C1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6BF34CA4" w14:textId="77777777" w:rsidR="00B83505" w:rsidRDefault="00B83505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0D29561" w14:textId="77777777" w:rsidR="005B5DB1" w:rsidRDefault="005B5DB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1112C5BD" w14:textId="77777777" w:rsidR="005B5DB1" w:rsidRPr="00E276EF" w:rsidRDefault="005B5DB1" w:rsidP="005B5DB1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2D578194" w14:textId="77777777" w:rsidR="005B5DB1" w:rsidRDefault="005B5DB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87C1F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AB047" w14:textId="77777777" w:rsidR="0076796F" w:rsidRDefault="0076796F" w:rsidP="0057594E">
      <w:pPr>
        <w:spacing w:after="0" w:line="240" w:lineRule="auto"/>
      </w:pPr>
      <w:r>
        <w:separator/>
      </w:r>
    </w:p>
  </w:endnote>
  <w:endnote w:type="continuationSeparator" w:id="0">
    <w:p w14:paraId="61F93F7D" w14:textId="77777777" w:rsidR="0076796F" w:rsidRDefault="0076796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30F06" w14:textId="77777777" w:rsidR="0076796F" w:rsidRDefault="0076796F" w:rsidP="0057594E">
      <w:pPr>
        <w:spacing w:after="0" w:line="240" w:lineRule="auto"/>
      </w:pPr>
      <w:r>
        <w:separator/>
      </w:r>
    </w:p>
  </w:footnote>
  <w:footnote w:type="continuationSeparator" w:id="0">
    <w:p w14:paraId="015001CE" w14:textId="77777777" w:rsidR="0076796F" w:rsidRDefault="0076796F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EC97" w14:textId="772D0012" w:rsidR="00402E5A" w:rsidRDefault="00170FCA" w:rsidP="0089517A">
    <w:r>
      <w:rPr>
        <w:noProof/>
      </w:rPr>
      <w:drawing>
        <wp:inline distT="0" distB="0" distL="0" distR="0" wp14:anchorId="1468B212" wp14:editId="0A6973F3">
          <wp:extent cx="5760720" cy="762949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36E480C6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1F46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5F5E"/>
    <w:rsid w:val="000F6DD5"/>
    <w:rsid w:val="000F7FD9"/>
    <w:rsid w:val="00106668"/>
    <w:rsid w:val="001148F4"/>
    <w:rsid w:val="0011568D"/>
    <w:rsid w:val="00115960"/>
    <w:rsid w:val="00121194"/>
    <w:rsid w:val="0012541F"/>
    <w:rsid w:val="00132F9E"/>
    <w:rsid w:val="001575ED"/>
    <w:rsid w:val="00170FCA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71A71"/>
    <w:rsid w:val="002850C0"/>
    <w:rsid w:val="002A148E"/>
    <w:rsid w:val="002C11A9"/>
    <w:rsid w:val="002C2646"/>
    <w:rsid w:val="002D7CAD"/>
    <w:rsid w:val="002F5645"/>
    <w:rsid w:val="002F790D"/>
    <w:rsid w:val="00316E4E"/>
    <w:rsid w:val="00317001"/>
    <w:rsid w:val="0032240F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87C1F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604D4"/>
    <w:rsid w:val="00565BD3"/>
    <w:rsid w:val="00572014"/>
    <w:rsid w:val="0057448F"/>
    <w:rsid w:val="0057594E"/>
    <w:rsid w:val="00586999"/>
    <w:rsid w:val="00591D3C"/>
    <w:rsid w:val="005A4064"/>
    <w:rsid w:val="005B5DB1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6796F"/>
    <w:rsid w:val="00776C38"/>
    <w:rsid w:val="0079207F"/>
    <w:rsid w:val="00795307"/>
    <w:rsid w:val="007A53A5"/>
    <w:rsid w:val="007A645D"/>
    <w:rsid w:val="007A7047"/>
    <w:rsid w:val="007A7F4A"/>
    <w:rsid w:val="007B2189"/>
    <w:rsid w:val="007C21E9"/>
    <w:rsid w:val="007C2CAD"/>
    <w:rsid w:val="007C4B9E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22A48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5613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5354"/>
    <w:rsid w:val="00C260D1"/>
    <w:rsid w:val="00C332F0"/>
    <w:rsid w:val="00C34871"/>
    <w:rsid w:val="00C35DF5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D452A"/>
    <w:rsid w:val="00DD66E8"/>
    <w:rsid w:val="00DE08CE"/>
    <w:rsid w:val="00DE4704"/>
    <w:rsid w:val="00DF395A"/>
    <w:rsid w:val="00DF5F41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75C1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2024-01-25T06:49:00Z</cp:lastPrinted>
  <dcterms:created xsi:type="dcterms:W3CDTF">2024-05-16T11:25:00Z</dcterms:created>
  <dcterms:modified xsi:type="dcterms:W3CDTF">2024-07-02T15:10:00Z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